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44F" w:rsidRPr="00FD140B" w:rsidRDefault="00BA344F" w:rsidP="00BA344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40B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</w:p>
    <w:p w:rsidR="00BA344F" w:rsidRPr="00FD140B" w:rsidRDefault="00BA344F" w:rsidP="00BA344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40B">
        <w:rPr>
          <w:rFonts w:ascii="Times New Roman" w:hAnsi="Times New Roman" w:cs="Times New Roman"/>
          <w:b/>
          <w:sz w:val="24"/>
          <w:szCs w:val="24"/>
        </w:rPr>
        <w:t xml:space="preserve">ОЦЕНКИ РАЗВИВАЮЩЕЙ ПРЕДМЕТНО-ПРОСТРАНСТВЕННОЙ СРЕДЫ </w:t>
      </w:r>
    </w:p>
    <w:p w:rsidR="00BA344F" w:rsidRPr="00FD140B" w:rsidRDefault="00BA344F" w:rsidP="00BA344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40B">
        <w:rPr>
          <w:rFonts w:ascii="Times New Roman" w:hAnsi="Times New Roman" w:cs="Times New Roman"/>
          <w:b/>
          <w:sz w:val="24"/>
          <w:szCs w:val="24"/>
        </w:rPr>
        <w:t xml:space="preserve">ОРГАНИЗАЦИИ ОБРАЗОВАТЕЛЬНОЙ ДЕЯТЕЛЬНОСТИ </w:t>
      </w:r>
    </w:p>
    <w:p w:rsidR="00BA344F" w:rsidRPr="00FD140B" w:rsidRDefault="00BA344F" w:rsidP="00BA344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40B">
        <w:rPr>
          <w:rFonts w:ascii="Times New Roman" w:hAnsi="Times New Roman" w:cs="Times New Roman"/>
          <w:b/>
          <w:sz w:val="24"/>
          <w:szCs w:val="24"/>
        </w:rPr>
        <w:t xml:space="preserve"> /в показателях и индикаторах/ </w:t>
      </w:r>
    </w:p>
    <w:p w:rsidR="00BA344F" w:rsidRPr="00FD140B" w:rsidRDefault="00BA344F" w:rsidP="00BA344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44F" w:rsidRPr="00FD140B" w:rsidRDefault="00BA344F" w:rsidP="00BA344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40B">
        <w:rPr>
          <w:rFonts w:ascii="Times New Roman" w:hAnsi="Times New Roman" w:cs="Times New Roman"/>
          <w:b/>
          <w:sz w:val="24"/>
          <w:szCs w:val="24"/>
        </w:rPr>
        <w:t>Баллы: 0 – не соответствует, 1 – частично соответствует, 2 – полностью соответствует.</w:t>
      </w:r>
    </w:p>
    <w:p w:rsidR="00BA344F" w:rsidRPr="00FD140B" w:rsidRDefault="00BA344F" w:rsidP="00BA344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44F" w:rsidRPr="00FD140B" w:rsidRDefault="00BA344F" w:rsidP="00BA344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6"/>
        <w:gridCol w:w="6621"/>
        <w:gridCol w:w="2212"/>
        <w:gridCol w:w="1213"/>
      </w:tblGrid>
      <w:tr w:rsidR="00BA344F" w:rsidRPr="00FD140B" w:rsidTr="00B06E0B">
        <w:tc>
          <w:tcPr>
            <w:tcW w:w="566" w:type="dxa"/>
            <w:vMerge w:val="restart"/>
          </w:tcPr>
          <w:p w:rsidR="00BA344F" w:rsidRPr="00FD140B" w:rsidRDefault="00BA344F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20" w:type="dxa"/>
            <w:vMerge w:val="restart"/>
          </w:tcPr>
          <w:p w:rsidR="00BA344F" w:rsidRPr="00FD140B" w:rsidRDefault="00BA344F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/ Индикаторы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  <w:proofErr w:type="spellStart"/>
            <w:r w:rsidRPr="00FD140B">
              <w:rPr>
                <w:rFonts w:ascii="Times New Roman" w:hAnsi="Times New Roman" w:cs="Times New Roman"/>
                <w:b/>
                <w:sz w:val="24"/>
                <w:szCs w:val="24"/>
              </w:rPr>
              <w:t>самообследования</w:t>
            </w:r>
            <w:proofErr w:type="spellEnd"/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b/>
                <w:sz w:val="24"/>
                <w:szCs w:val="24"/>
              </w:rPr>
              <w:t>Баллы эксперта</w:t>
            </w:r>
          </w:p>
        </w:tc>
      </w:tr>
      <w:tr w:rsidR="00BA344F" w:rsidRPr="00FD140B" w:rsidTr="00B06E0B">
        <w:tc>
          <w:tcPr>
            <w:tcW w:w="566" w:type="dxa"/>
            <w:vMerge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gridSpan w:val="2"/>
          </w:tcPr>
          <w:p w:rsidR="00BA344F" w:rsidRPr="00FD140B" w:rsidRDefault="00BA344F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b/>
                <w:sz w:val="24"/>
                <w:szCs w:val="24"/>
              </w:rPr>
              <w:t>Баллы (от 0 до 2)</w:t>
            </w:r>
          </w:p>
        </w:tc>
      </w:tr>
      <w:tr w:rsidR="00BA344F" w:rsidRPr="00FD140B" w:rsidTr="00FD140B">
        <w:tc>
          <w:tcPr>
            <w:tcW w:w="10682" w:type="dxa"/>
            <w:gridSpan w:val="4"/>
            <w:shd w:val="clear" w:color="auto" w:fill="FFFF00"/>
          </w:tcPr>
          <w:p w:rsidR="00BA344F" w:rsidRPr="00FD140B" w:rsidRDefault="00BA344F" w:rsidP="00B06E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Показатели, характеризующие общий критерий оценки качества развивающей предметно-пространственной среды, касающиеся ее содержательной насыщенности </w:t>
            </w: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пространства соответствует возрастным возможностям детей</w:t>
            </w:r>
            <w:bookmarkStart w:id="0" w:name="_GoBack"/>
            <w:bookmarkEnd w:id="0"/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, соответствует особенностям каждого возрастного этапа: </w:t>
            </w:r>
          </w:p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- в помещениях образовательной организации находится мебель, по размеру и функциональному назначению подобранная в соответствии с возрастом детей;  </w:t>
            </w:r>
          </w:p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- в помещениях образовательной организации выделены функциональные зоны (пространства) в зависимости от образовательных, психологических, физиологических потребностей детей разного возраста; </w:t>
            </w:r>
          </w:p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- все доступные детям помещения образовательной организации, включая коридоры и лестницы, используются для развития детей (оформляются детскими рисунками; на стенах, на полу, на ступенях размещаются надписи, схемы, буквы, цифры и т.п.)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пространства соответствует содержанию Основной образовательной программы дошкольного образования, разработанной образовательной организацией самостоятельно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 образовательного пространства учитывается целостность образовательного процесса в образовательной организации, в заданных образовательных областях: </w:t>
            </w:r>
            <w:proofErr w:type="spellStart"/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социальнокоммуникативной</w:t>
            </w:r>
            <w:proofErr w:type="spellEnd"/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, познавательной, речевой, художественно-эстетической, физической   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Образовательное пространство оснащено игровыми   средствами обучения в соответствии со спецификой Программы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Образовательное пространство оснащено спортивным, оздоровительным оборудованием, инвентарем в соответствии со спецификой Программы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В образовательном пространстве учитывается реализация различных образовательных программ (дополнительных, авторских, парциальных)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В образовательном пространстве учитываются национально-культурные условия, в которых осуществляется образовательная деятельность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В образовательном пространстве учитываются климатические условия, в которых осуществляется образовательная деятельность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образовательного пространства и разнообразие материалов, оборудования и инвентаря (в здании и на участке) для детей младенческого и раннего возраста </w:t>
            </w:r>
            <w:r w:rsidRPr="00FD1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предоставляет необходимые и достаточные возможности для движения с разными материалами 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пространства и разнообразие материалов, оборудования и инвентаря (в здании и на участке) для детей младенческого и раннего возраста предоставляет необходимые и достаточные возможности для предметной и игровой деятельности с разными материалами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образовательного пространства и разнообразие материалов, оборудования и инвентаря (в здании и на участке) обеспечивает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 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пространства и   разнообразие материалов, оборудования и инвентаря (в здании и на участке) обеспечивает двигательную активность, в том числе развитие крупной и мелкой моторики, участие в подвижных играх и соревнованиях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пространства и разнообразие материалов, оборудования и инвентаря (в здании и на участке) обеспечивает эмоциональное благополучие детей во взаимодействии с предметно-пространственным окружением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пространства и разнообразие материалов, оборудования и инвентаря (в здании и на участке) обеспечивает возможность самовыражения детей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пространства и разнообразие материалов, оборудования и инвентаря (в здании и на участке) учитывает индивидуальные особенности детей и коррекцию недостатков развития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образовательного пространства и разнообразие материалов, оборудования и инвентаря (в здании и на участке) учитывает индивидуальные особенности одаренных детей  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пространства и разнообразие материалов, оборудования обеспечивает возможности общения и совместной деятельности детей (в том числе детей разного возраста) и взрослых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пространства и разнообразие материалов, оборудования обеспечивает возможности для двигательной активности детей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образовательного пространства и разнообразие материалов, оборудования обеспечивает возможности для уединения детей 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пространство оснащено техническими средствами обучения, соответствующими материалами, в том числе расходными для использования  </w:t>
            </w:r>
          </w:p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информационно-коммуникационных технологий в образовательном процессе (стационарные и мобильные компьютеры, интерактивное оборудование, принтеры и т. п.).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 образовательного пространства обеспечено подключение всех групповых, а также иных помещений образовательной организации к сети Интернет (с учетом регламентов безопасного пользования Интернетом и психолого-педагогической экспертизы компьютерных игр) 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 образовательного пространства обеспечено </w:t>
            </w:r>
            <w:r w:rsidRPr="00FD1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компьютерно-техническое оснащение для демонстрации детям познавательных, художественных, мультипликационных фильмов, литературных, музыкальных произведений и др.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1.23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В организации образовательного пространства предоставлена возможность для поиска в информационной среде материалов, обеспечивающих реализацию Программы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В организации образовательного пространства обеспечены условия конструирования среды воспитания национально-культурного самосознания предполагающей в предметно-развивающем пространстве системное ознакомление детей с территориально-географическими, культурно-бытовыми аспектами жизни, устным творчеством, прикладным искусством Вологодчины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В организации предметно-развивающего пространства обеспечены условия для  усиления эмоциональной насыщенности образовательной среды в процессе педагогического взаимодействия между субъектами благодаря приданию положительного эмоционального настроя, атмосферы доверия, уважения, открытости,</w:t>
            </w:r>
            <w:r w:rsidRPr="00FD140B">
              <w:rPr>
                <w:sz w:val="24"/>
                <w:szCs w:val="24"/>
              </w:rPr>
              <w:t xml:space="preserve"> </w:t>
            </w: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сопереживания отношениям между субъектами - взрослыми (воспитателями и родителями) и детьми, стимулированию положительных эстетических эмоциональных переживаний детей (радости, восторга, восхищения) по поводу общения с разными видами искусства, родной природой Вологодчины.</w:t>
            </w:r>
            <w:proofErr w:type="gramEnd"/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 образовательного пространства обеспечена возможность для предоставления информации о Программе семье, всем заинтересованным лицам, вовлеченным в образовательную деятельность, а также широкой общественности 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В организации образовательного пространства обеспечена возможность для обсуждения с родителями (законными представителями) детей вопросов, связанных с реализацией Программы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 образовательного пространства обеспечена возможность для общения родителей (законных представителей) по интересам, связанным с развитием и образованием детей 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Обеспечена информатизация пространственной среды образовательной организации в соответствии с возрастным особенностям дошкольного детства и учетом развивающих эффектов специфически «дошкольных» видов деятельности и условий их достижения 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В информационно-пространственной среде образовательной организации детям обеспечена возможность использования программных продуктов, мобильных приложений (в </w:t>
            </w:r>
            <w:proofErr w:type="spellStart"/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. для разработки собственного электронного образовательного ресурса), цифровых и программируемых игрушек,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7586" w:type="dxa"/>
            <w:gridSpan w:val="2"/>
            <w:shd w:val="clear" w:color="auto" w:fill="F2F2F2" w:themeFill="background1" w:themeFillShade="F2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F2F2F2" w:themeFill="background1" w:themeFillShade="F2"/>
          </w:tcPr>
          <w:p w:rsidR="00BA344F" w:rsidRPr="00FD140B" w:rsidRDefault="00BA344F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217" w:type="dxa"/>
            <w:shd w:val="clear" w:color="auto" w:fill="F2F2F2" w:themeFill="background1" w:themeFillShade="F2"/>
          </w:tcPr>
          <w:p w:rsidR="00BA344F" w:rsidRPr="00FD140B" w:rsidRDefault="00BA344F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BA344F" w:rsidRPr="00FD140B" w:rsidTr="00FD140B">
        <w:tc>
          <w:tcPr>
            <w:tcW w:w="10682" w:type="dxa"/>
            <w:gridSpan w:val="4"/>
            <w:shd w:val="clear" w:color="auto" w:fill="FFFF00"/>
          </w:tcPr>
          <w:p w:rsidR="00BA344F" w:rsidRPr="00FD140B" w:rsidRDefault="00BA344F" w:rsidP="00B06E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Показатели, характеризующие общий критерий оценки  качества развивающей предметно-пространственной среды, касающиеся </w:t>
            </w:r>
            <w:proofErr w:type="spellStart"/>
            <w:r w:rsidRPr="00FD140B">
              <w:rPr>
                <w:rFonts w:ascii="Times New Roman" w:hAnsi="Times New Roman" w:cs="Times New Roman"/>
                <w:b/>
                <w:sz w:val="24"/>
                <w:szCs w:val="24"/>
              </w:rPr>
              <w:t>трансформируемости</w:t>
            </w:r>
            <w:proofErr w:type="spellEnd"/>
            <w:r w:rsidRPr="00FD1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пространства</w:t>
            </w:r>
          </w:p>
          <w:p w:rsidR="00BA344F" w:rsidRPr="00FD140B" w:rsidRDefault="00BA344F" w:rsidP="00B06E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Организация пространства и расположение материалов обеспечивает возможность изменений предметно-</w:t>
            </w:r>
            <w:r w:rsidRPr="00FD1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пространственной среды в зависимости от образовательной ситуации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пространства и расположение материалов обеспечивает возможность изменений </w:t>
            </w:r>
            <w:proofErr w:type="spellStart"/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предметнопространственной</w:t>
            </w:r>
            <w:proofErr w:type="spellEnd"/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 среды в зависимости от меняющихся интересов, мотивов и возможностей детей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В организации пространства группы используется разновеликая, но преимущественно достаточно низкая (по высоте), открытая (без стекол и задних стенок) мебель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В предметно-пространственной среде заложены возможности того, что и ребенок и взрослый могут стать творцами своего окружения – мебель и оборудование (снабжено рояльными колесиками) достаточно легки и устойчивы, могут быть перенесены ребенком (детьми) без посторонней помощи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7586" w:type="dxa"/>
            <w:gridSpan w:val="2"/>
            <w:shd w:val="clear" w:color="auto" w:fill="F2F2F2" w:themeFill="background1" w:themeFillShade="F2"/>
          </w:tcPr>
          <w:p w:rsidR="00BA344F" w:rsidRPr="00FD140B" w:rsidRDefault="00BA344F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  <w:p w:rsidR="00BA344F" w:rsidRPr="00FD140B" w:rsidRDefault="00BA344F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F2F2F2" w:themeFill="background1" w:themeFillShade="F2"/>
          </w:tcPr>
          <w:p w:rsidR="00BA344F" w:rsidRPr="00FD140B" w:rsidRDefault="00BA344F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17" w:type="dxa"/>
            <w:shd w:val="clear" w:color="auto" w:fill="F2F2F2" w:themeFill="background1" w:themeFillShade="F2"/>
          </w:tcPr>
          <w:p w:rsidR="00BA344F" w:rsidRPr="00FD140B" w:rsidRDefault="00BA344F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A344F" w:rsidRPr="00FD140B" w:rsidTr="00FD140B">
        <w:tc>
          <w:tcPr>
            <w:tcW w:w="10682" w:type="dxa"/>
            <w:gridSpan w:val="4"/>
            <w:shd w:val="clear" w:color="auto" w:fill="FFFF00"/>
          </w:tcPr>
          <w:p w:rsidR="00BA344F" w:rsidRPr="00FD140B" w:rsidRDefault="00BA344F" w:rsidP="00B06E0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III. Показатели, характеризующие общий критерий оценки качества развивающей предметно-пространственной среды, касающийся </w:t>
            </w:r>
            <w:proofErr w:type="spellStart"/>
            <w:r w:rsidRPr="00FD140B">
              <w:rPr>
                <w:rFonts w:ascii="Times New Roman" w:hAnsi="Times New Roman" w:cs="Times New Roman"/>
                <w:b/>
                <w:sz w:val="24"/>
                <w:szCs w:val="24"/>
              </w:rPr>
              <w:t>полифункциональности</w:t>
            </w:r>
            <w:proofErr w:type="spellEnd"/>
            <w:r w:rsidRPr="00FD1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материалов</w:t>
            </w:r>
          </w:p>
          <w:p w:rsidR="00BA344F" w:rsidRPr="00FD140B" w:rsidRDefault="00BA344F" w:rsidP="00B06E0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пространства группы и расположении материалов,  различных составляющих предметной среды (детской мебели, матов, мягких модулей, ширм и т.д.) для разнообразного использования в разных видах детской активности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организации пространства полифункциональных предметов и </w:t>
            </w:r>
            <w:proofErr w:type="gramStart"/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proofErr w:type="gramEnd"/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 не обладающих жестко закрепленным способом употребления (есть возможность перенести (перевезти), переставить)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пространства природных, бросовых материалов, пригодных для использования в разных видах детской активности (в том числе в качестве предметов-заместителей в детской игре)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 пространства отражена мобильность средового окружения позволяющая </w:t>
            </w:r>
            <w:proofErr w:type="gramStart"/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обеспечить</w:t>
            </w:r>
            <w:proofErr w:type="gramEnd"/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 новизну и сложность предметно-пространственной среды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Полифункциональный характер организации предметного окружения обеспечивает стимулирование творческого поведения, побуждающего фантазию ребенка, поставляет множество элементов для работы воображения, продуктивной активности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В организации пространства детям обеспечена возможность практического участия в преобразовании предметной среды, основанного на приобщении детей к выразительным средствам оформительского искусства как условия формирования творческой активности ребенка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 пространства группы, участка обеспечена возможность его изменения в соответствии с игровыми и педагогическими задачами, в </w:t>
            </w:r>
            <w:proofErr w:type="spellStart"/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. посредством подручных сре</w:t>
            </w:r>
            <w:proofErr w:type="gramStart"/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я различных временных сооружений (домиков, игровых уголков, оград и пр.).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 пространства участка предоставлена возможность использования одних и тех же объектов участка (постройки, не имеющие четкого образа, и природные объекты (низкие кустарники, деревья, пеньки и пр.), для разных видов детской деятельности, которые можно </w:t>
            </w:r>
            <w:r w:rsidRPr="00FD1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в качестве маркеров игрового пространства, мест для общения, игры, исследования и уединения и т. п.</w:t>
            </w:r>
            <w:proofErr w:type="gramEnd"/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 пространства участка предоставлены подручные материалы для преобразования этого пространства, </w:t>
            </w:r>
            <w:proofErr w:type="spellStart"/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подстраивания</w:t>
            </w:r>
            <w:proofErr w:type="spellEnd"/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 его под те или иные игровые или педагогические задачи, обеспечение опыта построения собственных игровых пространств на прогулке, использования подручного материала для этой цели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7586" w:type="dxa"/>
            <w:gridSpan w:val="2"/>
            <w:shd w:val="clear" w:color="auto" w:fill="F2F2F2" w:themeFill="background1" w:themeFillShade="F2"/>
          </w:tcPr>
          <w:p w:rsidR="00BA344F" w:rsidRPr="00FD140B" w:rsidRDefault="00BA344F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  <w:p w:rsidR="00BA344F" w:rsidRPr="00FD140B" w:rsidRDefault="00BA344F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F2F2F2" w:themeFill="background1" w:themeFillShade="F2"/>
          </w:tcPr>
          <w:p w:rsidR="00BA344F" w:rsidRPr="00FD140B" w:rsidRDefault="00BA344F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17" w:type="dxa"/>
            <w:shd w:val="clear" w:color="auto" w:fill="F2F2F2" w:themeFill="background1" w:themeFillShade="F2"/>
          </w:tcPr>
          <w:p w:rsidR="00BA344F" w:rsidRPr="00FD140B" w:rsidRDefault="00BA344F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BA344F" w:rsidRPr="00FD140B" w:rsidTr="00FD140B">
        <w:tc>
          <w:tcPr>
            <w:tcW w:w="10682" w:type="dxa"/>
            <w:gridSpan w:val="4"/>
            <w:shd w:val="clear" w:color="auto" w:fill="FFFF00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b/>
                <w:sz w:val="24"/>
                <w:szCs w:val="24"/>
              </w:rPr>
              <w:t>IV. Показатели, характеризующие общий критерий оценки качества развивающей предметно-пространственной среды, касающиеся ее вариативности</w:t>
            </w:r>
          </w:p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В организации пространства учтены особенности образовательной деятельности (например, наличие приоритетной направленности), социокультурные, экономические условия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В организации пространства учтены возможности и потребности участников образовательных отношений (детей и их семей, педагогов и других сотрудников образовательной организации, участников сетевого взаимодействия и пр.)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 пространства обеспечен учет специфики информационной социализации и рисков Интернет-ресурсов  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Наличие различных пространств (для игры, конструирования и пр.) в группе, на территории образовательной организации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Наличие разнообразных материалов, игр, игрушек и оборудования, обеспечивающих свободный выбор детей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В организации пространства (группы, здания, территории (участка) предусмотрено обеспечение периодической сменяемости игрового материала, появление новых предметов, стимулирующих игровую, двигательную, познавательную и исследовательскую активность детей</w:t>
            </w:r>
            <w:proofErr w:type="gramEnd"/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В организации пространства учитывается гендерная специфика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В организации пространства обеспечена возможность разнообразного использования объекта внутри одного вида деятельности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В организации пространства используются игровые объекты, которые вариативно используются детьми (например, на горке, дети поднимаются и спускаются различными способами, катаются и качаются, цепляются).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 пространства участка обеспечено </w:t>
            </w:r>
            <w:proofErr w:type="spellStart"/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разноуровневое</w:t>
            </w:r>
            <w:proofErr w:type="spellEnd"/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расположение объектов (пеньки, земляные насыпи, горки), что обеспечивает возможность для разнообразных движений, пробы самых разных движений, поиска границ своих возможностей, развития двигательной компетентности, собственной безопасности, координации, образа пространства и телесного образа себя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7586" w:type="dxa"/>
            <w:gridSpan w:val="2"/>
            <w:shd w:val="clear" w:color="auto" w:fill="F2F2F2" w:themeFill="background1" w:themeFillShade="F2"/>
          </w:tcPr>
          <w:p w:rsidR="00BA344F" w:rsidRPr="00FD140B" w:rsidRDefault="00BA344F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  <w:p w:rsidR="00BA344F" w:rsidRPr="00FD140B" w:rsidRDefault="00BA344F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F2F2F2" w:themeFill="background1" w:themeFillShade="F2"/>
          </w:tcPr>
          <w:p w:rsidR="00BA344F" w:rsidRPr="00FD140B" w:rsidRDefault="00BA344F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17" w:type="dxa"/>
            <w:shd w:val="clear" w:color="auto" w:fill="F2F2F2" w:themeFill="background1" w:themeFillShade="F2"/>
          </w:tcPr>
          <w:p w:rsidR="00BA344F" w:rsidRPr="00FD140B" w:rsidRDefault="00BA344F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BA344F" w:rsidRPr="00FD140B" w:rsidTr="00FD140B">
        <w:tc>
          <w:tcPr>
            <w:tcW w:w="10682" w:type="dxa"/>
            <w:gridSpan w:val="4"/>
            <w:shd w:val="clear" w:color="auto" w:fill="FFFF00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b/>
                <w:sz w:val="24"/>
                <w:szCs w:val="24"/>
              </w:rPr>
              <w:t>V. Показатели, характеризующие общий критерий оценки качества развивающей предметно-пространственной среды, касающиеся ее доступности</w:t>
            </w:r>
          </w:p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 пространства, в групповых и других помещениях, предназначенных для образовательной </w:t>
            </w:r>
            <w:r w:rsidRPr="00FD1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детей (музыкальном, спортивном залах, зимнем саду, изостудии, театре и др.), обеспечены условия для общения и совместной деятельности детей как </w:t>
            </w:r>
            <w:proofErr w:type="gramStart"/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взрослыми, так и со сверстниками в разных групповых сочетаниях 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 пространства организованы условия, при которых дети имеют возможность собираться для игр и занятий всей группой вместе, а также </w:t>
            </w:r>
          </w:p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объединяться в малые группы в соответствии со своими интересами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В организации пространства прилегающих территорий здания образовательной организации выделены зоны для общения и совместной деятельности больших и малых групп детей из разных возрастных групп и взрослых, в том числе для использования методов проектирования как средств поисковой, познавательно-исследовательской, творческой, игровой и др. видов деятельности детей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 пространства здания, территории (участка) обеспечена 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 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В организации пространства группы обеспечена доступность для воспитанников, в том числе детей с ограниченными возможностями здоровья и детей инвалидов, всех помещений, где осуществляется образовательная деятельность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В организации пространства здания, территории (участка) обеспечен 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В организации пространства группы обеспечен 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В организации пространства обеспечена возможность для обсуждения родителями (законными представителями) детей вопросов, связанных с реализацией Программы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 пространства обеспечена возможность для ознакомления родителей (законных представителей) детей с организацией развивающей предметно-пространственной среды в семейных условиях, для соблюдения единства семейного и общественного воспитания, что способствует конструктивному взаимодействию семьи и образовательной организации в целях поддержки индивидуальности ребенка в ходе реализации Программы 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группах различных центров активности, образованных при расположении мебели, крупного игрового оборудования не только по периметру (вдоль стен), но и во внутреннем пространстве группы (не менее пяти), дающих возможность детям приобрести разнообразный опыт в самостоятельной (творческой, познавательной, продуктивной, трудовой, конструктивной, социально-ориентированной, двигательной) деятельности (стеллажи, </w:t>
            </w:r>
            <w:r w:rsidRPr="00FD1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контейнеры для хранения игрушек, материалов с надписями (отличительными знаками, символами), а также дополнительных материалов, для</w:t>
            </w:r>
            <w:proofErr w:type="gramEnd"/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изменения, дополнения обустройства центров активности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5.11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В организации пространства группы, участка обеспечена возможность периодической смены игрового материала, появления новых предметов, стимулирующих игровую, двигательную, познавательную и исследовательскую активность детей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В организации пространства группы, участка обеспечена возможность более одного места для уединения, что позволяет организовывать непрерывную образовательную деятельность для одного или двух - трех детей отдельно от занятий основной группы с использованием уединенного места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5.13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В организации пространства группы, участка   обеспечена адекватность объектов росту и двигательным возможностям детей (разнообразие ростовых характеристик объектов)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В организации пространства группы, участка обеспечено сочетание открытых пространств и  мест для спокойной игры и  уединения, как условие психологического комфорта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7586" w:type="dxa"/>
            <w:gridSpan w:val="2"/>
            <w:shd w:val="clear" w:color="auto" w:fill="F2F2F2" w:themeFill="background1" w:themeFillShade="F2"/>
          </w:tcPr>
          <w:p w:rsidR="00BA344F" w:rsidRPr="00FD140B" w:rsidRDefault="00BA344F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  <w:p w:rsidR="00BA344F" w:rsidRPr="00FD140B" w:rsidRDefault="00BA344F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F2F2F2" w:themeFill="background1" w:themeFillShade="F2"/>
          </w:tcPr>
          <w:p w:rsidR="00BA344F" w:rsidRPr="00FD140B" w:rsidRDefault="00BA344F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17" w:type="dxa"/>
            <w:shd w:val="clear" w:color="auto" w:fill="F2F2F2" w:themeFill="background1" w:themeFillShade="F2"/>
          </w:tcPr>
          <w:p w:rsidR="00BA344F" w:rsidRPr="00FD140B" w:rsidRDefault="00BA344F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BA344F" w:rsidRPr="00FD140B" w:rsidTr="00FD140B">
        <w:tc>
          <w:tcPr>
            <w:tcW w:w="10682" w:type="dxa"/>
            <w:gridSpan w:val="4"/>
            <w:shd w:val="clear" w:color="auto" w:fill="FFFF00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VI. Показатели, характеризующие общий критерий оценки качества развивающей предметно-пространственной среды, касающиеся безопасности предметно-пространственной среды </w:t>
            </w:r>
          </w:p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пространство и все его элементы отвечают требованиям по обеспечению надежности и безопасности их использования, </w:t>
            </w:r>
            <w:proofErr w:type="gramStart"/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такими</w:t>
            </w:r>
            <w:proofErr w:type="gramEnd"/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 как санитарно-эпидемиологические правила и нормативы и правила пожарной безопасности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Образовательное пространство организовано с учетом специфики информационной социализации детей и правил безопасного пользования Интернетом: игровой, коммуникативной, познавательно-исследовательской, двигательной, конструирования, восприятия произведений словесного, музыкального и изобразительного творчества, продуктивной деятельности и пр. в соответствии с потребностями каждого возрастного этапа детей, охраны и укрепления их здоровья, возможностями учета особенностей и коррекции недостатков их развития</w:t>
            </w:r>
            <w:proofErr w:type="gramEnd"/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образовательном пространстве групповых, а также в иных помещениях образовательной организации обеспечена возможность подключения к Всемирной информационно-телекоммуникационной сети Интернет  посредством кабельной проводки, а также с помощью технологии </w:t>
            </w:r>
            <w:proofErr w:type="spellStart"/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В организации пространства здания, участка используются исправные и сохранные материалы и оборудование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В организации предметно-пространственной среды группы используются исправные и сохранные материалы и оборудование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В организации пространства обеспечены условия для проведения диагностики состояния здоровья детей, медицинских процедур, коррекционных и профилактических мероприятий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 пространства учитывается необходимость </w:t>
            </w:r>
            <w:r w:rsidRPr="00FD1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обеспечения </w:t>
            </w:r>
            <w:proofErr w:type="gramStart"/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эмоциональное</w:t>
            </w:r>
            <w:proofErr w:type="gramEnd"/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 благополучия детей во взаимодействии с предметно-пространственным окружением и комфортные условия для работы сотрудников образовательной организации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6.8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В организации предметно-пространственной среды групповых и других помещений обеспечено достаточно пространства для свободного передвижения детей, а также выделены помещения или зоны для разных видов двигательной активности детей - бега, прыжков, лазания, метания и др.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 пространства обеспечена возможность для максимального рассредоточения детей в групповом блоке (рациональное использование всех помещений, игровая, спальня и приемная) 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В организации предметно-пространственной среды дети имеют возможность безопасного доступа к объектам инфраструктуры образовательной организации, а также к играм, игрушкам, материалам, пособиям, обеспечивающим все основные виды детской активности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В помещениях образовательной организации достаточно места для специального оборудования для детей с ограниченными возможностями, имеется специально приспособленная мебель, позволяющая безопасно заниматься разными видами деятельности, общаться и играть со сверстниками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В организации пространства территории образовательной организации организована защита от погодных явлений (снег, ветер, солнце и пр.)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В организации пространства участка, на одного ребенка дошкольного возраста (от 3 до 7 лет) приходится не меньше 9 кв. м площади участка (согласно п. 3.6 СанПиН 2.4.1.3049-13)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Маятниковые качели на участках расположены безопасно (согласно ГОСТ </w:t>
            </w:r>
            <w:proofErr w:type="gramStart"/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 52169–2012 ) в 1,5 м. от стоек и зоны движения во всех направлениях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В организации пространства территории образовательной организации зеленые насаждения занимают 50% (в условиях плотной городской застройки - 30%, в соответствии с п. 3.1 СанПиН 2.4.1.3049-13) территории участка ДОО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7586" w:type="dxa"/>
            <w:gridSpan w:val="2"/>
            <w:shd w:val="clear" w:color="auto" w:fill="F2F2F2" w:themeFill="background1" w:themeFillShade="F2"/>
          </w:tcPr>
          <w:p w:rsidR="00BA344F" w:rsidRPr="00FD140B" w:rsidRDefault="00BA344F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  <w:p w:rsidR="00BA344F" w:rsidRPr="00FD140B" w:rsidRDefault="00BA344F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F2F2F2" w:themeFill="background1" w:themeFillShade="F2"/>
          </w:tcPr>
          <w:p w:rsidR="00BA344F" w:rsidRPr="00FD140B" w:rsidRDefault="00BA344F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217" w:type="dxa"/>
            <w:shd w:val="clear" w:color="auto" w:fill="F2F2F2" w:themeFill="background1" w:themeFillShade="F2"/>
          </w:tcPr>
          <w:p w:rsidR="00BA344F" w:rsidRPr="00FD140B" w:rsidRDefault="00BA344F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BA344F" w:rsidRPr="00FD140B" w:rsidTr="00FD140B">
        <w:tc>
          <w:tcPr>
            <w:tcW w:w="10682" w:type="dxa"/>
            <w:gridSpan w:val="4"/>
            <w:shd w:val="clear" w:color="auto" w:fill="FFFF00"/>
          </w:tcPr>
          <w:p w:rsidR="00BA344F" w:rsidRPr="00FD140B" w:rsidRDefault="00BA344F" w:rsidP="00B06E0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b/>
                <w:sz w:val="24"/>
                <w:szCs w:val="24"/>
              </w:rPr>
              <w:t>VII. Показатели, характеризующие общий критерий оценки качества управления организационно-педагогической деятельностью руководителей, касающейся проектирования развивающей предметно-пространственной среды образовательной организации</w:t>
            </w: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предметно-пространственной среды (как функции управления) носит системно-средовой характер и определена как элемент целостного управленческого цикла, выполняющий в нем особую роль, имеющий специфическую цель, содержание, структуру, технологию реализации и взаимосвязанный с другими функциями управления образовательной организацией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Обеспечивается регулярный анализ информации о состоянии, эффективности развивающей предметно - пространственной среды в практике управления образовательной организации 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Определено содержание организационно - педагогической деятельности руководителей образовательной </w:t>
            </w:r>
            <w:proofErr w:type="gramStart"/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gramEnd"/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FD1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создании развивающей предметно-пространственной среды и технологии ее реализации 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7.4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Созданы условия реализации технологии организации развивающей среды:  </w:t>
            </w:r>
          </w:p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мотивации педагогических кадров образовательной организации по созданию развивающей среды в соответствии с Программой;  </w:t>
            </w:r>
          </w:p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- внедрение системы информационно-аналитического обеспечения организации развивающей предметно-пространственной среды;  </w:t>
            </w:r>
          </w:p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- построение содержания организации развивающей среды с учетом конкретных особенностей образовательной организации;  </w:t>
            </w:r>
          </w:p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разработка и реализация программы повышения профессионализма управленческих и педагогических кадров непосредственно в образовательной организации, предусматривающей овладение ими теоретическими и практическими знаниями и умениями по созданию развивающей предметно-пространственной среды по Программе;  </w:t>
            </w:r>
          </w:p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- обеспечение передачи частичных функций управления по организации субъектами образовательного процесса, на основе активизирующих креативных форм методической работы в образовательной организации по созданию развивающей предметно-пространственной среды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566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7020" w:type="dxa"/>
          </w:tcPr>
          <w:p w:rsidR="00BA344F" w:rsidRPr="00FD140B" w:rsidRDefault="00BA344F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 </w:t>
            </w:r>
            <w:proofErr w:type="gramStart"/>
            <w:r w:rsidRPr="00FD140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D140B">
              <w:rPr>
                <w:rFonts w:ascii="Times New Roman" w:hAnsi="Times New Roman" w:cs="Times New Roman"/>
                <w:sz w:val="24"/>
                <w:szCs w:val="24"/>
              </w:rPr>
              <w:t xml:space="preserve"> интенсивностью естественного освещения, возможности управления вентиляцией</w:t>
            </w: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4F" w:rsidRPr="00FD140B" w:rsidTr="00B06E0B">
        <w:tc>
          <w:tcPr>
            <w:tcW w:w="7586" w:type="dxa"/>
            <w:gridSpan w:val="2"/>
            <w:shd w:val="clear" w:color="auto" w:fill="F2F2F2" w:themeFill="background1" w:themeFillShade="F2"/>
          </w:tcPr>
          <w:p w:rsidR="00BA344F" w:rsidRPr="00FD140B" w:rsidRDefault="00BA344F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  <w:p w:rsidR="00BA344F" w:rsidRPr="00FD140B" w:rsidRDefault="00BA344F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F2F2F2" w:themeFill="background1" w:themeFillShade="F2"/>
          </w:tcPr>
          <w:p w:rsidR="00BA344F" w:rsidRPr="00FD140B" w:rsidRDefault="00BA344F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17" w:type="dxa"/>
            <w:shd w:val="clear" w:color="auto" w:fill="F2F2F2" w:themeFill="background1" w:themeFillShade="F2"/>
          </w:tcPr>
          <w:p w:rsidR="00BA344F" w:rsidRPr="00FD140B" w:rsidRDefault="00BA344F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BA344F" w:rsidRPr="00FD140B" w:rsidTr="00B06E0B">
        <w:tc>
          <w:tcPr>
            <w:tcW w:w="7586" w:type="dxa"/>
            <w:gridSpan w:val="2"/>
          </w:tcPr>
          <w:p w:rsidR="00BA344F" w:rsidRPr="00FD140B" w:rsidRDefault="00BA344F" w:rsidP="00B06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Возможное (максимальное) количество баллов по показателям</w:t>
            </w:r>
          </w:p>
          <w:p w:rsidR="00BA344F" w:rsidRPr="00FD140B" w:rsidRDefault="00BA344F" w:rsidP="00B06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</w:tcPr>
          <w:p w:rsidR="00BA344F" w:rsidRPr="00FD140B" w:rsidRDefault="00BA344F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</w:p>
        </w:tc>
        <w:tc>
          <w:tcPr>
            <w:tcW w:w="1217" w:type="dxa"/>
          </w:tcPr>
          <w:p w:rsidR="00BA344F" w:rsidRPr="00FD140B" w:rsidRDefault="00BA344F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0B"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</w:p>
        </w:tc>
      </w:tr>
    </w:tbl>
    <w:p w:rsidR="00BA344F" w:rsidRPr="00FD140B" w:rsidRDefault="00BA344F" w:rsidP="00BA344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A344F" w:rsidRPr="00FD140B" w:rsidRDefault="00BA344F" w:rsidP="00BA344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D5B1C" w:rsidRDefault="008D5B1C"/>
    <w:sectPr w:rsidR="008D5B1C" w:rsidSect="00BA34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97A"/>
    <w:rsid w:val="007F297A"/>
    <w:rsid w:val="008D5B1C"/>
    <w:rsid w:val="00BA344F"/>
    <w:rsid w:val="00FD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44F"/>
    <w:pPr>
      <w:ind w:left="720"/>
      <w:contextualSpacing/>
    </w:pPr>
  </w:style>
  <w:style w:type="table" w:styleId="a4">
    <w:name w:val="Table Grid"/>
    <w:basedOn w:val="a1"/>
    <w:uiPriority w:val="59"/>
    <w:rsid w:val="00BA3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44F"/>
    <w:pPr>
      <w:ind w:left="720"/>
      <w:contextualSpacing/>
    </w:pPr>
  </w:style>
  <w:style w:type="table" w:styleId="a4">
    <w:name w:val="Table Grid"/>
    <w:basedOn w:val="a1"/>
    <w:uiPriority w:val="59"/>
    <w:rsid w:val="00BA3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3431</Words>
  <Characters>19558</Characters>
  <Application>Microsoft Office Word</Application>
  <DocSecurity>0</DocSecurity>
  <Lines>162</Lines>
  <Paragraphs>45</Paragraphs>
  <ScaleCrop>false</ScaleCrop>
  <Company>Curnos™</Company>
  <LinksUpToDate>false</LinksUpToDate>
  <CharactersWithSpaces>22944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2007-01-01T01:17:00Z</dcterms:created>
  <dcterms:modified xsi:type="dcterms:W3CDTF">2007-01-01T01:18:00Z</dcterms:modified>
</cp:coreProperties>
</file>